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闽侯县第二中学防坠网采购项目需求表</w:t>
      </w:r>
    </w:p>
    <w:p>
      <w:pPr>
        <w:pStyle w:val="9"/>
        <w:rPr>
          <w:sz w:val="36"/>
          <w:szCs w:val="36"/>
        </w:rPr>
      </w:pPr>
    </w:p>
    <w:p>
      <w:pPr>
        <w:widowControl/>
        <w:numPr>
          <w:ilvl w:val="0"/>
          <w:numId w:val="1"/>
        </w:numPr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项目名称：闽侯县第二中学防坠网采购项目</w:t>
      </w:r>
    </w:p>
    <w:p>
      <w:pPr>
        <w:widowControl/>
        <w:numPr>
          <w:ilvl w:val="0"/>
          <w:numId w:val="1"/>
        </w:numPr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单位地址：闽侯县尚干镇尚南路76号</w:t>
      </w:r>
    </w:p>
    <w:p>
      <w:pPr>
        <w:widowControl/>
        <w:numPr>
          <w:ilvl w:val="0"/>
          <w:numId w:val="1"/>
        </w:numPr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预算金额：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39.0万元</w:t>
      </w:r>
    </w:p>
    <w:p>
      <w:pPr>
        <w:widowControl/>
        <w:numPr>
          <w:ilvl w:val="0"/>
          <w:numId w:val="1"/>
        </w:numPr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项目内容：</w:t>
      </w:r>
    </w:p>
    <w:p>
      <w:pPr>
        <w:pStyle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drawing>
          <wp:inline distT="0" distB="0" distL="114300" distR="114300">
            <wp:extent cx="5822315" cy="3128010"/>
            <wp:effectExtent l="0" t="0" r="6985" b="15240"/>
            <wp:docPr id="1" name="图片 1" descr="e585549671307e40725ef6abbca2b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85549671307e40725ef6abbca2b66"/>
                    <pic:cNvPicPr>
                      <a:picLocks noChangeAspect="1"/>
                    </pic:cNvPicPr>
                  </pic:nvPicPr>
                  <pic:blipFill>
                    <a:blip r:embed="rId4"/>
                    <a:srcRect t="16110"/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3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rPr>
          <w:rFonts w:ascii="仿宋" w:hAnsi="仿宋" w:eastAsia="仿宋" w:cs="仿宋"/>
          <w:sz w:val="32"/>
          <w:szCs w:val="32"/>
        </w:rPr>
      </w:pPr>
    </w:p>
    <w:p>
      <w:pPr>
        <w:pStyle w:val="6"/>
        <w:widowControl/>
        <w:shd w:val="clear" w:color="auto" w:fill="FFFFFF"/>
        <w:spacing w:line="40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（防坠网安装在所要求安装的建筑物的二层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及以上</w:t>
      </w:r>
      <w:r>
        <w:rPr>
          <w:rFonts w:hint="eastAsia" w:ascii="仿宋" w:hAnsi="仿宋" w:eastAsia="仿宋" w:cs="仿宋"/>
          <w:kern w:val="0"/>
          <w:sz w:val="32"/>
          <w:szCs w:val="32"/>
        </w:rPr>
        <w:t>走廊外侧，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工程量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2687.1平方米，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具体见现场）。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五、投标人且在开标前将符合本次招标的防坠网样本一片（白色1M²）、镀锌方管一段（60厘米）送至学校。</w:t>
      </w:r>
    </w:p>
    <w:p>
      <w:pPr>
        <w:widowControl/>
        <w:ind w:left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六、采购时间要求：30</w:t>
      </w:r>
      <w:r>
        <w:rPr>
          <w:rFonts w:hint="eastAsia" w:ascii="仿宋" w:hAnsi="仿宋" w:eastAsia="仿宋" w:cs="仿宋"/>
          <w:kern w:val="0"/>
          <w:sz w:val="32"/>
          <w:szCs w:val="32"/>
        </w:rPr>
        <w:t>个日历天安装完毕，开工日期以招标人开工令为准。</w:t>
      </w:r>
    </w:p>
    <w:p>
      <w:pPr>
        <w:widowControl/>
        <w:ind w:left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七、材质要求：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涤纶绳防坠网粗12mm、孔洞120*120；镀锌角铁L70*5；高强化学螺栓@1000  M12*150；热镀锌天津方管（贯通敷设）30*30*3；热镀锌天津方管@4200  40*80*3。另外钢构部分先除锈处理刷两遍防锈漆后上一层面漆。</w:t>
      </w:r>
    </w:p>
    <w:p>
      <w:pPr>
        <w:widowControl/>
        <w:ind w:left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八、采购控制价依据：</w:t>
      </w:r>
      <w:r>
        <w:rPr>
          <w:rFonts w:hint="eastAsia" w:ascii="仿宋" w:hAnsi="仿宋" w:eastAsia="仿宋" w:cs="仿宋"/>
          <w:kern w:val="0"/>
          <w:sz w:val="32"/>
          <w:szCs w:val="32"/>
        </w:rPr>
        <w:t>上级部门询价按涤纶绳防坠网项目控制价最高价145元/平方米，以及我校测量本次工程量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工程量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2687.1平方米，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确定投标最高价为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39.0万</w:t>
      </w:r>
      <w:r>
        <w:rPr>
          <w:rFonts w:hint="eastAsia" w:ascii="仿宋" w:hAnsi="仿宋" w:eastAsia="仿宋" w:cs="仿宋"/>
          <w:kern w:val="0"/>
          <w:sz w:val="32"/>
          <w:szCs w:val="32"/>
        </w:rPr>
        <w:t>元。</w:t>
      </w:r>
    </w:p>
    <w:p>
      <w:pPr>
        <w:pStyle w:val="9"/>
        <w:ind w:left="319" w:leftChars="152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九、投标保证金：本项目每个投标申请人需提交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陆</w:t>
      </w:r>
      <w:r>
        <w:rPr>
          <w:rFonts w:hint="eastAsia" w:ascii="仿宋" w:hAnsi="仿宋" w:eastAsia="仿宋" w:cs="仿宋"/>
          <w:kern w:val="0"/>
          <w:sz w:val="32"/>
          <w:szCs w:val="32"/>
        </w:rPr>
        <w:t>仟元人民币的投标保证金，投标保证金现场缴交。中标人投标保证金需另提交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陆</w:t>
      </w:r>
      <w:r>
        <w:rPr>
          <w:rFonts w:hint="eastAsia" w:ascii="仿宋" w:hAnsi="仿宋" w:eastAsia="仿宋" w:cs="仿宋"/>
          <w:kern w:val="0"/>
          <w:sz w:val="32"/>
          <w:szCs w:val="32"/>
        </w:rPr>
        <w:t>仟元人民币的投标保证金以投标公司公户转账形式汇入：</w:t>
      </w:r>
    </w:p>
    <w:p>
      <w:pPr>
        <w:pStyle w:val="9"/>
        <w:ind w:left="319" w:leftChars="152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户名：闽侯县财政国库收付中心</w:t>
      </w:r>
    </w:p>
    <w:p>
      <w:pPr>
        <w:pStyle w:val="9"/>
        <w:ind w:left="319" w:leftChars="152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账号：35001616607052502257-1046备注好汇闽侯二中防坠网项目的履约保证金</w:t>
      </w:r>
    </w:p>
    <w:p>
      <w:pPr>
        <w:pStyle w:val="9"/>
        <w:ind w:firstLine="320" w:firstLineChars="1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开户银行：建设银行闽侯县支行</w:t>
      </w:r>
    </w:p>
    <w:p>
      <w:pPr>
        <w:pStyle w:val="9"/>
        <w:ind w:left="319" w:leftChars="152" w:firstLine="320" w:firstLineChars="1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中标人的投标保证金转入闽侯第二中学账户后，退还现场缴交的保证金。中标人的投标保证金转为履约保证金，在货物安装并验收合格后，一个星期内退还。未中标人的保证金于开标后现场退还。</w:t>
      </w:r>
    </w:p>
    <w:p>
      <w:pPr>
        <w:widowControl/>
        <w:ind w:firstLine="321" w:firstLineChars="1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十、合同签订：</w:t>
      </w:r>
      <w:r>
        <w:rPr>
          <w:rFonts w:hint="eastAsia" w:ascii="仿宋" w:hAnsi="仿宋" w:eastAsia="仿宋" w:cs="仿宋"/>
          <w:sz w:val="32"/>
          <w:szCs w:val="32"/>
        </w:rPr>
        <w:t>开标后，公示5天，同时我校向主管局提请采购审批，审批结束且公示期无疑义向中标人发送中标通知书，中标人在接到中标通知书后三天内，应派代表与招标单位签订供货合同。逾期未与招标单位签订合同，将视为自动放弃，且没收投标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十一、付款方式：</w:t>
      </w:r>
      <w:r>
        <w:rPr>
          <w:rFonts w:hint="eastAsia" w:ascii="仿宋" w:hAnsi="仿宋" w:eastAsia="仿宋" w:cs="仿宋"/>
          <w:kern w:val="0"/>
          <w:sz w:val="32"/>
          <w:szCs w:val="32"/>
        </w:rPr>
        <w:t>产品验收合格后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待财政资金到位后凭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100%发票按照最终结算</w:t>
      </w:r>
      <w:r>
        <w:rPr>
          <w:rFonts w:hint="eastAsia" w:ascii="仿宋" w:hAnsi="仿宋" w:eastAsia="仿宋" w:cs="仿宋"/>
          <w:kern w:val="0"/>
          <w:sz w:val="32"/>
          <w:szCs w:val="32"/>
        </w:rPr>
        <w:t>支付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合同款项，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资金由教育局年初预算经费校舍建设项目列支。</w:t>
      </w:r>
      <w:r>
        <w:rPr>
          <w:rFonts w:hint="eastAsia" w:ascii="仿宋" w:hAnsi="仿宋" w:eastAsia="仿宋" w:cs="仿宋"/>
          <w:kern w:val="0"/>
          <w:sz w:val="32"/>
          <w:szCs w:val="32"/>
        </w:rPr>
        <w:t>项目保修期限为一年。</w:t>
      </w:r>
    </w:p>
    <w:p>
      <w:pPr>
        <w:widowControl/>
        <w:ind w:left="42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pStyle w:val="6"/>
        <w:widowControl/>
        <w:shd w:val="clear" w:color="auto" w:fill="FFFFFF"/>
        <w:spacing w:line="400" w:lineRule="exact"/>
        <w:ind w:firstLine="5120" w:firstLineChars="16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闽侯县第二中学</w:t>
      </w:r>
    </w:p>
    <w:p>
      <w:pPr>
        <w:pStyle w:val="6"/>
        <w:widowControl/>
        <w:shd w:val="clear" w:color="auto" w:fill="FFFFFF"/>
        <w:spacing w:line="400" w:lineRule="exact"/>
        <w:ind w:firstLine="5120" w:firstLineChars="16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pStyle w:val="6"/>
        <w:widowControl/>
        <w:shd w:val="clear" w:color="auto" w:fill="FFFFFF"/>
        <w:spacing w:line="400" w:lineRule="exact"/>
        <w:rPr>
          <w:rFonts w:ascii="仿宋" w:hAnsi="仿宋" w:eastAsia="仿宋" w:cs="仿宋"/>
          <w:kern w:val="0"/>
          <w:sz w:val="28"/>
          <w:szCs w:val="28"/>
        </w:rPr>
      </w:pPr>
    </w:p>
    <w:p>
      <w:pPr>
        <w:pStyle w:val="6"/>
        <w:widowControl/>
        <w:shd w:val="clear" w:color="auto" w:fill="FFFFFF"/>
        <w:spacing w:line="400" w:lineRule="exact"/>
        <w:rPr>
          <w:rFonts w:ascii="仿宋" w:hAnsi="仿宋" w:eastAsia="仿宋" w:cs="仿宋"/>
          <w:kern w:val="0"/>
          <w:sz w:val="28"/>
          <w:szCs w:val="28"/>
        </w:rPr>
      </w:pPr>
    </w:p>
    <w:p>
      <w:pPr>
        <w:pStyle w:val="6"/>
        <w:widowControl/>
        <w:shd w:val="clear" w:color="auto" w:fill="FFFFFF"/>
        <w:spacing w:line="400" w:lineRule="exact"/>
        <w:rPr>
          <w:rFonts w:ascii="仿宋" w:hAnsi="仿宋" w:eastAsia="仿宋" w:cs="仿宋"/>
          <w:kern w:val="0"/>
          <w:sz w:val="28"/>
          <w:szCs w:val="28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60B1F"/>
    <w:multiLevelType w:val="singleLevel"/>
    <w:tmpl w:val="5DE60B1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0OGQxYThhNzI5NjJkMTBhNjE2ZWQ2N2YzOWIxZGUifQ=="/>
  </w:docVars>
  <w:rsids>
    <w:rsidRoot w:val="2A2E503D"/>
    <w:rsid w:val="00140065"/>
    <w:rsid w:val="00451993"/>
    <w:rsid w:val="004E01C0"/>
    <w:rsid w:val="0092180D"/>
    <w:rsid w:val="00996F56"/>
    <w:rsid w:val="00CE2ACD"/>
    <w:rsid w:val="0FDF44CF"/>
    <w:rsid w:val="26612267"/>
    <w:rsid w:val="2A2E503D"/>
    <w:rsid w:val="48851938"/>
    <w:rsid w:val="536919E3"/>
    <w:rsid w:val="722E41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Arial" w:eastAsia="楷体_GB2312"/>
      <w:kern w:val="0"/>
      <w:sz w:val="28"/>
      <w:szCs w:val="20"/>
    </w:r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qFormat/>
    <w:uiPriority w:val="0"/>
    <w:rPr>
      <w:sz w:val="24"/>
    </w:rPr>
  </w:style>
  <w:style w:type="paragraph" w:customStyle="1" w:styleId="9">
    <w:name w:val="样式 10 磅31114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批注框文本 Char"/>
    <w:basedOn w:val="8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Char"/>
    <w:basedOn w:val="8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720</Words>
  <Characters>820</Characters>
  <Lines>6</Lines>
  <Paragraphs>1</Paragraphs>
  <TotalTime>4</TotalTime>
  <ScaleCrop>false</ScaleCrop>
  <LinksUpToDate>false</LinksUpToDate>
  <CharactersWithSpaces>824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2023-04-23T09:18:00Z</dcterms:created>
  <dc:creator>WPS_160492810</dc:creator>
  <cp:lastModifiedBy>WPS_160492810</cp:lastModifiedBy>
  <dcterms:modified xsi:type="dcterms:W3CDTF">2024-05-06T13:12:57Z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2487807F60FA4F95815E874F16D00206_11</vt:lpwstr>
  </property>
</Properties>
</file>