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640" w:firstLineChars="200"/>
        <w:jc w:val="center"/>
        <w:rPr>
          <w:rFonts w:hint="eastAsia"/>
        </w:rPr>
      </w:pPr>
      <w:bookmarkStart w:id="0" w:name="OLE_LINK1"/>
      <w:bookmarkStart w:id="1" w:name="OLE_LINK6"/>
    </w:p>
    <w:p>
      <w:pPr>
        <w:tabs>
          <w:tab w:val="left" w:pos="5250"/>
        </w:tabs>
        <w:spacing w:line="540" w:lineRule="exact"/>
        <w:jc w:val="center"/>
        <w:rPr>
          <w:rFonts w:hint="eastAsia"/>
        </w:rPr>
      </w:pPr>
    </w:p>
    <w:p>
      <w:pPr>
        <w:tabs>
          <w:tab w:val="left" w:pos="5250"/>
        </w:tabs>
        <w:spacing w:line="540" w:lineRule="exact"/>
        <w:jc w:val="center"/>
        <w:rPr>
          <w:rFonts w:hint="eastAsia"/>
        </w:rPr>
      </w:pPr>
    </w:p>
    <w:p>
      <w:pPr>
        <w:spacing w:line="540" w:lineRule="exact"/>
        <w:ind w:firstLine="640" w:firstLineChars="200"/>
        <w:jc w:val="cente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rPr>
      </w:pPr>
    </w:p>
    <w:p>
      <w:pPr>
        <w:jc w:val="center"/>
        <w:rPr>
          <w:rFonts w:hint="eastAsia" w:ascii="仿宋_GB2312"/>
          <w:szCs w:val="32"/>
        </w:rPr>
      </w:pPr>
      <w:r>
        <w:rPr>
          <w:rFonts w:hint="eastAsia" w:ascii="仿宋_GB2312"/>
          <w:szCs w:val="32"/>
        </w:rPr>
        <w:t>侯</w:t>
      </w:r>
      <w:r>
        <w:rPr>
          <w:rFonts w:hint="eastAsia" w:ascii="仿宋_GB2312"/>
          <w:szCs w:val="32"/>
          <w:lang w:eastAsia="zh-CN"/>
        </w:rPr>
        <w:t>自然综</w:t>
      </w:r>
      <w:r>
        <w:rPr>
          <w:rFonts w:hint="eastAsia" w:ascii="仿宋_GB2312"/>
          <w:szCs w:val="32"/>
        </w:rPr>
        <w:t>〔20</w:t>
      </w:r>
      <w:r>
        <w:rPr>
          <w:rFonts w:hint="eastAsia" w:ascii="仿宋_GB2312"/>
          <w:szCs w:val="32"/>
          <w:lang w:val="en-US" w:eastAsia="zh-CN"/>
        </w:rPr>
        <w:t>24</w:t>
      </w:r>
      <w:r>
        <w:rPr>
          <w:rFonts w:hint="eastAsia" w:ascii="仿宋_GB2312"/>
          <w:szCs w:val="32"/>
        </w:rPr>
        <w:t>〕</w:t>
      </w:r>
      <w:r>
        <w:rPr>
          <w:rFonts w:hint="eastAsia" w:ascii="仿宋_GB2312"/>
          <w:szCs w:val="32"/>
          <w:lang w:val="en-US" w:eastAsia="zh-CN"/>
        </w:rPr>
        <w:t>352</w:t>
      </w:r>
      <w:r>
        <w:rPr>
          <w:rFonts w:hint="eastAsia" w:ascii="仿宋_GB2312"/>
          <w:szCs w:val="32"/>
        </w:rPr>
        <w:t>号</w:t>
      </w:r>
      <w:bookmarkEnd w:id="0"/>
      <w:bookmarkEnd w:id="1"/>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szCs w:val="32"/>
        </w:rPr>
      </w:pPr>
    </w:p>
    <w:p>
      <w:pPr>
        <w:pStyle w:val="23"/>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关于闽侯县青口汽车城QK04-D-35、36、37、38地块控规动态维护的公示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6"/>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6"/>
          <w:highlight w:val="none"/>
          <w14:textFill>
            <w14:solidFill>
              <w14:schemeClr w14:val="tx1"/>
            </w14:solidFill>
          </w14:textFill>
        </w:rPr>
        <w:t>我</w:t>
      </w:r>
      <w:r>
        <w:rPr>
          <w:rFonts w:hint="eastAsia" w:ascii="仿宋_GB2312" w:hAnsi="仿宋_GB2312" w:eastAsia="仿宋_GB2312" w:cs="仿宋_GB2312"/>
          <w:color w:val="000000" w:themeColor="text1"/>
          <w:sz w:val="32"/>
          <w:szCs w:val="36"/>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6"/>
          <w:highlight w:val="none"/>
          <w14:textFill>
            <w14:solidFill>
              <w14:schemeClr w14:val="tx1"/>
            </w14:solidFill>
          </w14:textFill>
        </w:rPr>
        <w:t>委托福州市规划设计研究院集团有限公司编制的《闽侯县青口汽车城QK04-D-35、36、37、38地块控规动态维护》于</w:t>
      </w:r>
      <w:r>
        <w:rPr>
          <w:rFonts w:hint="eastAsia" w:ascii="仿宋_GB2312" w:hAnsi="仿宋_GB2312" w:eastAsia="仿宋_GB2312" w:cs="仿宋_GB2312"/>
          <w:color w:val="000000" w:themeColor="text1"/>
          <w:sz w:val="32"/>
          <w:szCs w:val="36"/>
          <w:highlight w:val="none"/>
          <w:lang w:val="en-US"/>
          <w14:textFill>
            <w14:solidFill>
              <w14:schemeClr w14:val="tx1"/>
            </w14:solidFill>
          </w14:textFill>
        </w:rPr>
        <w:t>2024</w:t>
      </w:r>
      <w:r>
        <w:rPr>
          <w:rFonts w:hint="eastAsia" w:ascii="仿宋_GB2312" w:hAnsi="仿宋_GB2312" w:eastAsia="仿宋_GB2312" w:cs="仿宋_GB2312"/>
          <w:color w:val="000000" w:themeColor="text1"/>
          <w:sz w:val="32"/>
          <w:szCs w:val="36"/>
          <w:highlight w:val="none"/>
          <w14:textFill>
            <w14:solidFill>
              <w14:schemeClr w14:val="tx1"/>
            </w14:solidFill>
          </w14:textFill>
        </w:rPr>
        <w:t>年</w:t>
      </w:r>
      <w:r>
        <w:rPr>
          <w:rFonts w:hint="eastAsia" w:ascii="仿宋_GB2312" w:hAnsi="仿宋_GB2312" w:eastAsia="仿宋_GB2312" w:cs="仿宋_GB2312"/>
          <w:color w:val="000000" w:themeColor="text1"/>
          <w:sz w:val="32"/>
          <w:szCs w:val="36"/>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6"/>
          <w:highlight w:val="none"/>
          <w14:textFill>
            <w14:solidFill>
              <w14:schemeClr w14:val="tx1"/>
            </w14:solidFill>
          </w14:textFill>
        </w:rPr>
        <w:t>月</w:t>
      </w:r>
      <w:r>
        <w:rPr>
          <w:rFonts w:hint="eastAsia" w:ascii="仿宋_GB2312" w:hAnsi="仿宋_GB2312" w:eastAsia="仿宋_GB2312" w:cs="仿宋_GB2312"/>
          <w:color w:val="000000" w:themeColor="text1"/>
          <w:sz w:val="32"/>
          <w:szCs w:val="36"/>
          <w:highlight w:val="none"/>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6"/>
          <w:highlight w:val="none"/>
          <w14:textFill>
            <w14:solidFill>
              <w14:schemeClr w14:val="tx1"/>
            </w14:solidFill>
          </w14:textFill>
        </w:rPr>
        <w:t>日通过专家技术审查</w:t>
      </w:r>
      <w:r>
        <w:rPr>
          <w:rFonts w:hint="eastAsia" w:ascii="仿宋_GB2312" w:hAnsi="仿宋_GB2312" w:eastAsia="仿宋_GB2312" w:cs="仿宋_GB2312"/>
          <w:color w:val="000000" w:themeColor="text1"/>
          <w:sz w:val="32"/>
          <w:szCs w:val="36"/>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根据《城乡规划法》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及《福州市关于进一步加强控制性详细规划编制审批和实施管理的指导意见》</w:t>
      </w:r>
      <w:r>
        <w:rPr>
          <w:rFonts w:hint="eastAsia" w:ascii="仿宋_GB2312" w:hAnsi="仿宋_GB2312" w:eastAsia="仿宋_GB2312" w:cs="仿宋_GB2312"/>
          <w:color w:val="000000" w:themeColor="text1"/>
          <w:sz w:val="32"/>
          <w:szCs w:val="32"/>
          <w14:textFill>
            <w14:solidFill>
              <w14:schemeClr w14:val="tx1"/>
            </w14:solidFill>
          </w14:textFill>
        </w:rPr>
        <w:t>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现将修改完善后的控规动态维护规划草案公示征求公众意见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公示时间为</w:t>
      </w:r>
      <w:r>
        <w:rPr>
          <w:rFonts w:hint="eastAsia" w:ascii="仿宋_GB2312" w:hAnsi="仿宋_GB2312" w:eastAsia="仿宋_GB2312" w:cs="仿宋_GB2312"/>
          <w:color w:val="000000" w:themeColor="text1"/>
          <w:sz w:val="32"/>
          <w:szCs w:val="32"/>
          <w14:textFill>
            <w14:solidFill>
              <w14:schemeClr w14:val="tx1"/>
            </w14:solidFill>
          </w14:textFill>
        </w:rPr>
        <w:t>十个工作日。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6"/>
          <w:highlight w:val="none"/>
          <w14:textFill>
            <w14:solidFill>
              <w14:schemeClr w14:val="tx1"/>
            </w14:solidFill>
          </w14:textFill>
        </w:rPr>
      </w:pPr>
      <w:r>
        <w:rPr>
          <w:rFonts w:hint="eastAsia" w:ascii="仿宋_GB2312" w:hAnsi="仿宋_GB2312" w:eastAsia="仿宋_GB2312" w:cs="仿宋_GB2312"/>
          <w:color w:val="000000" w:themeColor="text1"/>
          <w:sz w:val="32"/>
          <w:szCs w:val="36"/>
          <w:highlight w:val="none"/>
          <w14:textFill>
            <w14:solidFill>
              <w14:schemeClr w14:val="tx1"/>
            </w14:solidFill>
          </w14:textFill>
        </w:rPr>
        <w:t>规划主要内容发布在闽侯县政务信息网（www.minhou.gov.cn）上。公示时间自</w:t>
      </w:r>
      <w:r>
        <w:rPr>
          <w:rFonts w:hint="eastAsia" w:ascii="仿宋_GB2312" w:hAnsi="仿宋_GB2312" w:eastAsia="仿宋_GB2312" w:cs="仿宋_GB2312"/>
          <w:color w:val="000000" w:themeColor="text1"/>
          <w:sz w:val="32"/>
          <w:szCs w:val="36"/>
          <w:highlight w:val="none"/>
          <w:lang w:val="en-US"/>
          <w14:textFill>
            <w14:solidFill>
              <w14:schemeClr w14:val="tx1"/>
            </w14:solidFill>
          </w14:textFill>
        </w:rPr>
        <w:t>2024</w:t>
      </w:r>
      <w:r>
        <w:rPr>
          <w:rFonts w:hint="eastAsia" w:ascii="仿宋_GB2312" w:hAnsi="仿宋_GB2312" w:eastAsia="仿宋_GB2312" w:cs="仿宋_GB2312"/>
          <w:color w:val="000000" w:themeColor="text1"/>
          <w:sz w:val="32"/>
          <w:szCs w:val="36"/>
          <w:highlight w:val="none"/>
          <w14:textFill>
            <w14:solidFill>
              <w14:schemeClr w14:val="tx1"/>
            </w14:solidFill>
          </w14:textFill>
        </w:rPr>
        <w:t>年</w:t>
      </w:r>
      <w:r>
        <w:rPr>
          <w:rFonts w:hint="eastAsia" w:ascii="仿宋_GB2312" w:hAnsi="仿宋_GB2312" w:eastAsia="仿宋_GB2312" w:cs="仿宋_GB2312"/>
          <w:color w:val="000000" w:themeColor="text1"/>
          <w:sz w:val="32"/>
          <w:szCs w:val="36"/>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6"/>
          <w:highlight w:val="none"/>
          <w14:textFill>
            <w14:solidFill>
              <w14:schemeClr w14:val="tx1"/>
            </w14:solidFill>
          </w14:textFill>
        </w:rPr>
        <w:t>月</w:t>
      </w:r>
      <w:r>
        <w:rPr>
          <w:rFonts w:hint="eastAsia" w:ascii="仿宋_GB2312" w:hAnsi="仿宋_GB2312" w:eastAsia="仿宋_GB2312" w:cs="仿宋_GB2312"/>
          <w:color w:val="000000" w:themeColor="text1"/>
          <w:sz w:val="32"/>
          <w:szCs w:val="36"/>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6"/>
          <w:highlight w:val="none"/>
          <w14:textFill>
            <w14:solidFill>
              <w14:schemeClr w14:val="tx1"/>
            </w14:solidFill>
          </w14:textFill>
        </w:rPr>
        <w:t>日至</w:t>
      </w:r>
      <w:r>
        <w:rPr>
          <w:rFonts w:hint="eastAsia" w:ascii="仿宋_GB2312" w:hAnsi="仿宋_GB2312" w:eastAsia="仿宋_GB2312" w:cs="仿宋_GB2312"/>
          <w:color w:val="000000" w:themeColor="text1"/>
          <w:sz w:val="32"/>
          <w:szCs w:val="36"/>
          <w:highlight w:val="none"/>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6"/>
          <w:highlight w:val="none"/>
          <w14:textFill>
            <w14:solidFill>
              <w14:schemeClr w14:val="tx1"/>
            </w14:solidFill>
          </w14:textFill>
        </w:rPr>
        <w:t>年</w:t>
      </w:r>
      <w:r>
        <w:rPr>
          <w:rFonts w:hint="eastAsia" w:ascii="仿宋_GB2312" w:hAnsi="仿宋_GB2312" w:eastAsia="仿宋_GB2312" w:cs="仿宋_GB2312"/>
          <w:color w:val="000000" w:themeColor="text1"/>
          <w:sz w:val="32"/>
          <w:szCs w:val="36"/>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6"/>
          <w:highlight w:val="none"/>
          <w14:textFill>
            <w14:solidFill>
              <w14:schemeClr w14:val="tx1"/>
            </w14:solidFill>
          </w14:textFill>
        </w:rPr>
        <w:t>月</w:t>
      </w:r>
      <w:r>
        <w:rPr>
          <w:rFonts w:hint="eastAsia" w:ascii="仿宋_GB2312" w:hAnsi="仿宋_GB2312" w:eastAsia="仿宋_GB2312" w:cs="仿宋_GB2312"/>
          <w:color w:val="000000" w:themeColor="text1"/>
          <w:sz w:val="32"/>
          <w:szCs w:val="36"/>
          <w:highlight w:val="none"/>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6"/>
          <w:highlight w:val="none"/>
          <w14:textFill>
            <w14:solidFill>
              <w14:schemeClr w14:val="tx1"/>
            </w14:solidFill>
          </w14:textFill>
        </w:rPr>
        <w:t>日，公示期间欢迎各单位和个人通过信函或电子邮件方式对规划提出意见与建议。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6"/>
          <w:highlight w:val="none"/>
        </w:rPr>
      </w:pPr>
      <w:r>
        <w:rPr>
          <w:rFonts w:hint="eastAsia" w:ascii="仿宋_GB2312" w:hAnsi="仿宋_GB2312" w:eastAsia="仿宋_GB2312" w:cs="仿宋_GB2312"/>
          <w:color w:val="000000" w:themeColor="text1"/>
          <w:sz w:val="32"/>
          <w:szCs w:val="36"/>
          <w:highlight w:val="none"/>
          <w14:textFill>
            <w14:solidFill>
              <w14:schemeClr w14:val="tx1"/>
            </w14:solidFill>
          </w14:textFill>
        </w:rPr>
        <w:t>来信邮寄地址：福州市闽</w:t>
      </w:r>
      <w:bookmarkStart w:id="2" w:name="_GoBack"/>
      <w:bookmarkEnd w:id="2"/>
      <w:r>
        <w:rPr>
          <w:rFonts w:hint="eastAsia" w:ascii="仿宋_GB2312" w:hAnsi="仿宋_GB2312" w:eastAsia="仿宋_GB2312" w:cs="仿宋_GB2312"/>
          <w:color w:val="000000" w:themeColor="text1"/>
          <w:sz w:val="32"/>
          <w:szCs w:val="36"/>
          <w:highlight w:val="none"/>
          <w14:textFill>
            <w14:solidFill>
              <w14:schemeClr w14:val="tx1"/>
            </w14:solidFill>
          </w14:textFill>
        </w:rPr>
        <w:t>侯县</w:t>
      </w:r>
      <w:r>
        <w:rPr>
          <w:rFonts w:hint="eastAsia" w:ascii="仿宋_GB2312" w:hAnsi="仿宋_GB2312" w:eastAsia="仿宋_GB2312" w:cs="仿宋_GB2312"/>
          <w:color w:val="000000" w:themeColor="text1"/>
          <w:sz w:val="32"/>
          <w:szCs w:val="36"/>
          <w:highlight w:val="none"/>
          <w:u w:val="none"/>
          <w14:textFill>
            <w14:solidFill>
              <w14:schemeClr w14:val="tx1"/>
            </w14:solidFill>
          </w14:textFill>
        </w:rPr>
        <w:t>甘</w:t>
      </w:r>
      <w:r>
        <w:rPr>
          <w:rFonts w:hint="eastAsia" w:ascii="仿宋_GB2312" w:hAnsi="仿宋_GB2312" w:eastAsia="仿宋_GB2312" w:cs="仿宋_GB2312"/>
          <w:color w:val="000000" w:themeColor="text1"/>
          <w:sz w:val="32"/>
          <w:szCs w:val="36"/>
          <w:highlight w:val="none"/>
          <w14:textFill>
            <w14:solidFill>
              <w14:schemeClr w14:val="tx1"/>
            </w14:solidFill>
          </w14:textFill>
        </w:rPr>
        <w:t>蔗街道滨江商务中心C栋5楼（闽侯县自然资源和规划局），邮政编码：350100，联系电话：</w:t>
      </w:r>
      <w:r>
        <w:rPr>
          <w:rFonts w:hint="eastAsia" w:ascii="仿宋_GB2312" w:hAnsi="仿宋_GB2312" w:eastAsia="仿宋_GB2312" w:cs="仿宋_GB2312"/>
          <w:sz w:val="32"/>
          <w:szCs w:val="36"/>
          <w:highlight w:val="none"/>
          <w:lang w:val="en-US"/>
        </w:rPr>
        <w:t>0591-22982504或0591-22062329</w:t>
      </w:r>
      <w:r>
        <w:rPr>
          <w:rFonts w:hint="eastAsia" w:ascii="仿宋_GB2312" w:hAnsi="仿宋_GB2312" w:eastAsia="仿宋_GB2312" w:cs="仿宋_GB2312"/>
          <w:color w:val="000000" w:themeColor="text1"/>
          <w:sz w:val="32"/>
          <w:szCs w:val="36"/>
          <w:highlight w:val="none"/>
          <w14:textFill>
            <w14:solidFill>
              <w14:schemeClr w14:val="tx1"/>
            </w14:solidFill>
          </w14:textFill>
        </w:rPr>
        <w:t>，电子邮件：mhcxgh@163.com，并注明“青口汽车城QK04-D-35、36、37、38地块控规动态维护意见与建议”。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6"/>
          <w:highlight w:val="none"/>
          <w:lang w:val="en-US" w:eastAsia="zh-CN"/>
          <w14:textFill>
            <w14:solidFill>
              <w14:schemeClr w14:val="tx1"/>
            </w14:solidFill>
          </w14:textFill>
        </w:rPr>
      </w:pPr>
    </w:p>
    <w:p>
      <w:pPr>
        <w:keepNext w:val="0"/>
        <w:keepLines w:val="0"/>
        <w:pageBreakBefore w:val="0"/>
        <w:widowControl/>
        <w:shd w:val="clear" w:color="auto"/>
        <w:kinsoku/>
        <w:wordWrap/>
        <w:overflowPunct/>
        <w:topLinePunct w:val="0"/>
        <w:autoSpaceDE/>
        <w:autoSpaceDN/>
        <w:bidi w:val="0"/>
        <w:spacing w:line="600" w:lineRule="exact"/>
        <w:ind w:left="0" w:leftChars="0"/>
        <w:jc w:val="both"/>
        <w:textAlignment w:val="auto"/>
        <w:rPr>
          <w:rFonts w:hint="eastAsia" w:ascii="仿宋_GB2312" w:hAnsi="仿宋_GB2312" w:eastAsia="仿宋_GB2312" w:cs="仿宋_GB2312"/>
          <w:sz w:val="28"/>
          <w:szCs w:val="28"/>
        </w:rPr>
      </w:pPr>
    </w:p>
    <w:p>
      <w:pPr>
        <w:keepNext w:val="0"/>
        <w:keepLines w:val="0"/>
        <w:pageBreakBefore w:val="0"/>
        <w:widowControl w:val="0"/>
        <w:tabs>
          <w:tab w:val="left" w:pos="7742"/>
        </w:tabs>
        <w:kinsoku/>
        <w:wordWrap/>
        <w:overflowPunct/>
        <w:topLinePunct w:val="0"/>
        <w:autoSpaceDE/>
        <w:autoSpaceDN/>
        <w:bidi w:val="0"/>
        <w:adjustRightInd w:val="0"/>
        <w:snapToGrid w:val="0"/>
        <w:spacing w:line="600" w:lineRule="exact"/>
        <w:ind w:left="0" w:leftChars="0" w:right="960"/>
        <w:jc w:val="center"/>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闽侯县自然资源和规划局</w:t>
      </w:r>
    </w:p>
    <w:p>
      <w:pPr>
        <w:keepNext w:val="0"/>
        <w:keepLines w:val="0"/>
        <w:pageBreakBefore w:val="0"/>
        <w:widowControl w:val="0"/>
        <w:tabs>
          <w:tab w:val="left" w:pos="7742"/>
        </w:tabs>
        <w:kinsoku/>
        <w:wordWrap/>
        <w:overflowPunct/>
        <w:topLinePunct w:val="0"/>
        <w:autoSpaceDE/>
        <w:autoSpaceDN/>
        <w:bidi w:val="0"/>
        <w:adjustRightInd w:val="0"/>
        <w:snapToGrid w:val="0"/>
        <w:spacing w:line="600" w:lineRule="exact"/>
        <w:ind w:left="0" w:leftChars="0" w:right="960"/>
        <w:jc w:val="center"/>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29</w:t>
      </w:r>
      <w:r>
        <w:rPr>
          <w:rFonts w:hint="eastAsia" w:ascii="仿宋_GB2312" w:hAnsi="仿宋_GB2312" w:eastAsia="仿宋_GB2312" w:cs="仿宋_GB2312"/>
          <w:sz w:val="32"/>
          <w:szCs w:val="32"/>
        </w:rPr>
        <w:t>日</w:t>
      </w:r>
    </w:p>
    <w:p>
      <w:pPr>
        <w:pStyle w:val="23"/>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23"/>
        <w:keepNext w:val="0"/>
        <w:keepLines w:val="0"/>
        <w:pageBreakBefore w:val="0"/>
        <w:widowControl w:val="0"/>
        <w:kinsoku/>
        <w:wordWrap/>
        <w:topLinePunct w:val="0"/>
        <w:bidi w:val="0"/>
        <w:snapToGrid/>
        <w:spacing w:before="0" w:after="0" w:line="560" w:lineRule="exact"/>
        <w:ind w:left="0" w:leftChars="0" w:right="0" w:rightChars="0" w:firstLine="300" w:firstLineChars="100"/>
        <w:jc w:val="left"/>
        <w:rPr>
          <w:rFonts w:hint="eastAsia" w:ascii="仿宋_GB2312" w:hAnsi="仿宋_GB2312" w:eastAsia="仿宋_GB2312" w:cs="仿宋_GB2312"/>
          <w:sz w:val="28"/>
          <w:szCs w:val="28"/>
        </w:rPr>
        <w:sectPr>
          <w:footerReference r:id="rId3" w:type="default"/>
          <w:pgSz w:w="11906" w:h="16838"/>
          <w:pgMar w:top="1984" w:right="1587" w:bottom="1531" w:left="1587" w:header="851" w:footer="964" w:gutter="0"/>
          <w:pgNumType w:fmt="numberInDash" w:start="1"/>
          <w:cols w:space="0" w:num="1"/>
          <w:rtlGutter w:val="0"/>
          <w:docGrid w:type="lines" w:linePitch="597" w:charSpace="0"/>
        </w:sectPr>
      </w:pPr>
      <w:r>
        <w:rPr>
          <w:rFonts w:hint="eastAsia" w:ascii="仿宋_GB2312" w:hAnsi="仿宋_GB2312" w:eastAsia="仿宋_GB2312" w:cs="仿宋_GB2312"/>
          <w:sz w:val="28"/>
          <w:szCs w:val="28"/>
        </w:rPr>
        <mc:AlternateContent>
          <mc:Choice Requires="wps">
            <w:drawing>
              <wp:anchor distT="0" distB="0" distL="114300" distR="114300" simplePos="0" relativeHeight="251667456" behindDoc="0" locked="0" layoutInCell="1" allowOverlap="1">
                <wp:simplePos x="0" y="0"/>
                <wp:positionH relativeFrom="column">
                  <wp:posOffset>6350</wp:posOffset>
                </wp:positionH>
                <wp:positionV relativeFrom="paragraph">
                  <wp:posOffset>31750</wp:posOffset>
                </wp:positionV>
                <wp:extent cx="5461635" cy="635"/>
                <wp:effectExtent l="0" t="0" r="0" b="0"/>
                <wp:wrapNone/>
                <wp:docPr id="2" name="直线 6"/>
                <wp:cNvGraphicFramePr/>
                <a:graphic xmlns:a="http://schemas.openxmlformats.org/drawingml/2006/main">
                  <a:graphicData uri="http://schemas.microsoft.com/office/word/2010/wordprocessingShape">
                    <wps:wsp>
                      <wps:cNvCnPr/>
                      <wps:spPr>
                        <a:xfrm>
                          <a:off x="0" y="0"/>
                          <a:ext cx="5461635" cy="63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0.5pt;margin-top:2.5pt;height:0.05pt;width:430.05pt;z-index:251667456;mso-width-relative:page;mso-height-relative:page;" filled="f" stroked="t" coordsize="21600,21600" o:gfxdata="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23LAtEAAAAFAQAADwAAAAAAAAABACAAAAAiAAAAZHJz&#10;L2Rvd25yZXYueG1sUEsBAhQAFAAAAAgAh07iQLEb04PSAQAAngMAAA4AAAAAAAAAAQAgAAAAIAEA&#10;AGRycy9lMm9Eb2MueG1sUEsFBgAAAAAGAAYAWQEAAGQFA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5408" behindDoc="0" locked="0" layoutInCell="1" allowOverlap="1">
                <wp:simplePos x="0" y="0"/>
                <wp:positionH relativeFrom="column">
                  <wp:posOffset>-3175</wp:posOffset>
                </wp:positionH>
                <wp:positionV relativeFrom="paragraph">
                  <wp:posOffset>346075</wp:posOffset>
                </wp:positionV>
                <wp:extent cx="5461635" cy="635"/>
                <wp:effectExtent l="0" t="0" r="0" b="0"/>
                <wp:wrapNone/>
                <wp:docPr id="8" name="直线 6"/>
                <wp:cNvGraphicFramePr/>
                <a:graphic xmlns:a="http://schemas.openxmlformats.org/drawingml/2006/main">
                  <a:graphicData uri="http://schemas.microsoft.com/office/word/2010/wordprocessingShape">
                    <wps:wsp>
                      <wps:cNvCnPr/>
                      <wps:spPr>
                        <a:xfrm>
                          <a:off x="0" y="0"/>
                          <a:ext cx="5461635" cy="63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0.25pt;margin-top:27.25pt;height:0.05pt;width:430.05pt;z-index:251665408;mso-width-relative:page;mso-height-relative:page;" filled="f" stroked="t" coordsize="21600,21600" o:gfxdata="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mJxa9QAAAAHAQAADwAAAAAAAAABACAAAAAiAAAA&#10;ZHJzL2Rvd25yZXYueG1sUEsBAhQAFAAAAAgAh07iQK46C1HSAQAAngMAAA4AAAAAAAAAAQAgAAAA&#10;IwEAAGRycy9lMm9Eb2MueG1sUEsFBgAAAAAGAAYAWQEAAGcFA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28"/>
          <w:szCs w:val="28"/>
          <w:lang w:eastAsia="zh-CN"/>
        </w:rPr>
        <w:t>闽侯县自然资源和规划局办公室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日印发</w:t>
      </w:r>
    </w:p>
    <w:p>
      <w:pPr>
        <w:rPr>
          <w:rFonts w:hint="eastAsia" w:ascii="黑体" w:hAnsi="黑体" w:eastAsia="黑体" w:cs="黑体"/>
          <w:sz w:val="32"/>
          <w:szCs w:val="36"/>
          <w:highlight w:val="none"/>
        </w:rPr>
      </w:pPr>
      <w:r>
        <w:rPr>
          <w:rFonts w:hint="eastAsia" w:ascii="黑体" w:hAnsi="黑体" w:eastAsia="黑体" w:cs="黑体"/>
          <w:sz w:val="32"/>
          <w:szCs w:val="36"/>
          <w:highlight w:val="none"/>
        </w:rPr>
        <w:t>附件</w:t>
      </w:r>
    </w:p>
    <w:p>
      <w:pPr>
        <w:jc w:val="center"/>
        <w:rPr>
          <w:rFonts w:ascii="仿宋" w:hAnsi="仿宋" w:eastAsia="仿宋"/>
          <w:sz w:val="32"/>
          <w:szCs w:val="36"/>
          <w:highlight w:val="none"/>
        </w:rPr>
      </w:pPr>
      <w:r>
        <w:rPr>
          <w:rFonts w:hint="eastAsia" w:ascii="仿宋_GB2312" w:hAnsi="仿宋_GB2312" w:eastAsia="仿宋_GB2312" w:cs="仿宋_GB2312"/>
          <w:color w:val="000000" w:themeColor="text1"/>
          <w:sz w:val="32"/>
          <w:szCs w:val="36"/>
          <w:highlight w:val="none"/>
          <w14:textFill>
            <w14:solidFill>
              <w14:schemeClr w14:val="tx1"/>
            </w14:solidFill>
          </w14:textFill>
        </w:rPr>
        <w:t>青口汽车城QK04-D-35、36、37、38地块控规动态维护</w:t>
      </w:r>
      <w:r>
        <w:rPr>
          <w:rFonts w:hint="eastAsia" w:ascii="仿宋_GB2312" w:hAnsi="仿宋_GB2312" w:eastAsia="仿宋_GB2312" w:cs="仿宋_GB2312"/>
          <w:color w:val="000000" w:themeColor="text1"/>
          <w:sz w:val="32"/>
          <w:szCs w:val="36"/>
          <w:highlight w:val="none"/>
          <w:lang w:val="en-US" w:eastAsia="zh-CN"/>
          <w14:textFill>
            <w14:solidFill>
              <w14:schemeClr w14:val="tx1"/>
            </w14:solidFill>
          </w14:textFill>
        </w:rPr>
        <w:t>征</w:t>
      </w:r>
      <w:r>
        <w:rPr>
          <w:rFonts w:hint="eastAsia" w:ascii="仿宋_GB2312" w:hAnsi="仿宋_GB2312" w:eastAsia="仿宋_GB2312" w:cs="仿宋_GB2312"/>
          <w:color w:val="000000" w:themeColor="text1"/>
          <w:sz w:val="32"/>
          <w:szCs w:val="36"/>
          <w:highlight w:val="none"/>
          <w14:textFill>
            <w14:solidFill>
              <w14:schemeClr w14:val="tx1"/>
            </w14:solidFill>
          </w14:textFill>
        </w:rPr>
        <w:t>询意见公示</w:t>
      </w:r>
    </w:p>
    <w:p>
      <w:pPr>
        <w:jc w:val="center"/>
        <w:rPr>
          <w:rFonts w:hint="eastAsia"/>
          <w:lang w:val="en-US" w:eastAsia="zh-CN"/>
        </w:rPr>
      </w:pPr>
      <w:r>
        <w:rPr>
          <w:rFonts w:hint="eastAsia" w:ascii="仿宋" w:hAnsi="仿宋" w:eastAsia="仿宋"/>
          <w:sz w:val="32"/>
          <w:szCs w:val="36"/>
          <w:lang w:eastAsia="zh-CN"/>
        </w:rPr>
        <w:drawing>
          <wp:anchor distT="0" distB="0" distL="114300" distR="114300" simplePos="0" relativeHeight="251668480" behindDoc="0" locked="0" layoutInCell="1" allowOverlap="1">
            <wp:simplePos x="0" y="0"/>
            <wp:positionH relativeFrom="column">
              <wp:posOffset>1116965</wp:posOffset>
            </wp:positionH>
            <wp:positionV relativeFrom="paragraph">
              <wp:posOffset>3810</wp:posOffset>
            </wp:positionV>
            <wp:extent cx="6603365" cy="4671060"/>
            <wp:effectExtent l="0" t="0" r="6985" b="15240"/>
            <wp:wrapNone/>
            <wp:docPr id="1" name="图片 1" descr="5c5891dae75a1f1a1b2a30ca9284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c5891dae75a1f1a1b2a30ca9284cac"/>
                    <pic:cNvPicPr>
                      <a:picLocks noChangeAspect="1"/>
                    </pic:cNvPicPr>
                  </pic:nvPicPr>
                  <pic:blipFill>
                    <a:blip r:embed="rId6"/>
                    <a:stretch>
                      <a:fillRect/>
                    </a:stretch>
                  </pic:blipFill>
                  <pic:spPr>
                    <a:xfrm>
                      <a:off x="0" y="0"/>
                      <a:ext cx="6603365" cy="4671060"/>
                    </a:xfrm>
                    <a:prstGeom prst="rect">
                      <a:avLst/>
                    </a:prstGeom>
                  </pic:spPr>
                </pic:pic>
              </a:graphicData>
            </a:graphic>
          </wp:anchor>
        </w:drawing>
      </w:r>
    </w:p>
    <w:sectPr>
      <w:footerReference r:id="rId4" w:type="default"/>
      <w:pgSz w:w="16838" w:h="11906" w:orient="landscape"/>
      <w:pgMar w:top="1800" w:right="1440" w:bottom="1800" w:left="144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27989"/>
    <w:rsid w:val="00861D6C"/>
    <w:rsid w:val="00A40443"/>
    <w:rsid w:val="00CB0D00"/>
    <w:rsid w:val="01352ABB"/>
    <w:rsid w:val="01975889"/>
    <w:rsid w:val="02694558"/>
    <w:rsid w:val="029E1AAE"/>
    <w:rsid w:val="02B032D8"/>
    <w:rsid w:val="02D1385C"/>
    <w:rsid w:val="02F34553"/>
    <w:rsid w:val="03027BA5"/>
    <w:rsid w:val="03A25F53"/>
    <w:rsid w:val="03B14DC9"/>
    <w:rsid w:val="054A0727"/>
    <w:rsid w:val="05AE33E0"/>
    <w:rsid w:val="05DF253A"/>
    <w:rsid w:val="06D20934"/>
    <w:rsid w:val="07113CF1"/>
    <w:rsid w:val="075F3B24"/>
    <w:rsid w:val="07A0430F"/>
    <w:rsid w:val="07C221A7"/>
    <w:rsid w:val="07CB3C1C"/>
    <w:rsid w:val="07F94B11"/>
    <w:rsid w:val="081F4D12"/>
    <w:rsid w:val="086D54F3"/>
    <w:rsid w:val="097555B4"/>
    <w:rsid w:val="09AE3F42"/>
    <w:rsid w:val="09E523B1"/>
    <w:rsid w:val="0A56591D"/>
    <w:rsid w:val="0A9328CE"/>
    <w:rsid w:val="0AD81F4A"/>
    <w:rsid w:val="0C44775C"/>
    <w:rsid w:val="0C6307E9"/>
    <w:rsid w:val="0C9441A5"/>
    <w:rsid w:val="0D2C56D1"/>
    <w:rsid w:val="0D5D6967"/>
    <w:rsid w:val="0D9F25CE"/>
    <w:rsid w:val="0E435EFB"/>
    <w:rsid w:val="0E4A2B38"/>
    <w:rsid w:val="0EF84679"/>
    <w:rsid w:val="0F977DF4"/>
    <w:rsid w:val="10782CB4"/>
    <w:rsid w:val="10B51F0B"/>
    <w:rsid w:val="115B61D6"/>
    <w:rsid w:val="11781153"/>
    <w:rsid w:val="12B02D3B"/>
    <w:rsid w:val="12FD7161"/>
    <w:rsid w:val="134517E8"/>
    <w:rsid w:val="14D416A9"/>
    <w:rsid w:val="15A31CD8"/>
    <w:rsid w:val="15DC7CD9"/>
    <w:rsid w:val="166F1587"/>
    <w:rsid w:val="16865510"/>
    <w:rsid w:val="16F0315D"/>
    <w:rsid w:val="170C447A"/>
    <w:rsid w:val="17220FCA"/>
    <w:rsid w:val="18252601"/>
    <w:rsid w:val="19BA5C4B"/>
    <w:rsid w:val="1A244B05"/>
    <w:rsid w:val="1A9B5DF1"/>
    <w:rsid w:val="1AA329E4"/>
    <w:rsid w:val="1AB30699"/>
    <w:rsid w:val="1B5E54B7"/>
    <w:rsid w:val="1BF115BE"/>
    <w:rsid w:val="1BFB5D7C"/>
    <w:rsid w:val="1C5F20F4"/>
    <w:rsid w:val="1CB410CC"/>
    <w:rsid w:val="1CC810A4"/>
    <w:rsid w:val="1D5D09A6"/>
    <w:rsid w:val="1E55228F"/>
    <w:rsid w:val="1E7A3018"/>
    <w:rsid w:val="1EC87A1A"/>
    <w:rsid w:val="1F382B87"/>
    <w:rsid w:val="1F4D3B0E"/>
    <w:rsid w:val="1F5C7349"/>
    <w:rsid w:val="1F683A71"/>
    <w:rsid w:val="1FEE3AE1"/>
    <w:rsid w:val="209C1E16"/>
    <w:rsid w:val="2174404F"/>
    <w:rsid w:val="218D7E8D"/>
    <w:rsid w:val="21E268F4"/>
    <w:rsid w:val="22AF2FDA"/>
    <w:rsid w:val="23351FD6"/>
    <w:rsid w:val="23594B1B"/>
    <w:rsid w:val="24F245B9"/>
    <w:rsid w:val="25594825"/>
    <w:rsid w:val="25980371"/>
    <w:rsid w:val="263F0F37"/>
    <w:rsid w:val="268D3E87"/>
    <w:rsid w:val="26C1418A"/>
    <w:rsid w:val="26E11A97"/>
    <w:rsid w:val="27663DF7"/>
    <w:rsid w:val="27B20252"/>
    <w:rsid w:val="283552C9"/>
    <w:rsid w:val="286A2D80"/>
    <w:rsid w:val="28AB456F"/>
    <w:rsid w:val="29175F73"/>
    <w:rsid w:val="299F6534"/>
    <w:rsid w:val="2A717C58"/>
    <w:rsid w:val="2A7F50B5"/>
    <w:rsid w:val="2AAB425C"/>
    <w:rsid w:val="2AE853EB"/>
    <w:rsid w:val="2B7A54FB"/>
    <w:rsid w:val="2BC53A73"/>
    <w:rsid w:val="2BD23A21"/>
    <w:rsid w:val="2C0E31D4"/>
    <w:rsid w:val="2C756CD8"/>
    <w:rsid w:val="2D154699"/>
    <w:rsid w:val="2D3D035A"/>
    <w:rsid w:val="2D442D05"/>
    <w:rsid w:val="2DEE4AB9"/>
    <w:rsid w:val="2EF70F02"/>
    <w:rsid w:val="2F4E77B4"/>
    <w:rsid w:val="2F6A680F"/>
    <w:rsid w:val="2F7D329D"/>
    <w:rsid w:val="2FEE7921"/>
    <w:rsid w:val="30002D3C"/>
    <w:rsid w:val="30471744"/>
    <w:rsid w:val="30C04F90"/>
    <w:rsid w:val="30D460C8"/>
    <w:rsid w:val="30F41DC0"/>
    <w:rsid w:val="32310629"/>
    <w:rsid w:val="325235E9"/>
    <w:rsid w:val="32F521ED"/>
    <w:rsid w:val="330473B5"/>
    <w:rsid w:val="331323FB"/>
    <w:rsid w:val="340E249D"/>
    <w:rsid w:val="34C64B3E"/>
    <w:rsid w:val="34CD07F2"/>
    <w:rsid w:val="34E40721"/>
    <w:rsid w:val="34E476C0"/>
    <w:rsid w:val="35196C86"/>
    <w:rsid w:val="35FC4D0C"/>
    <w:rsid w:val="368F2EC5"/>
    <w:rsid w:val="36AE3A6C"/>
    <w:rsid w:val="36C16C1E"/>
    <w:rsid w:val="38005810"/>
    <w:rsid w:val="38BC2E1D"/>
    <w:rsid w:val="38FD08C5"/>
    <w:rsid w:val="39B85940"/>
    <w:rsid w:val="39CF7701"/>
    <w:rsid w:val="3A8B6EE9"/>
    <w:rsid w:val="3ABD00F7"/>
    <w:rsid w:val="3AE772AE"/>
    <w:rsid w:val="3B1D6B25"/>
    <w:rsid w:val="3B2C5822"/>
    <w:rsid w:val="3BE01AAE"/>
    <w:rsid w:val="3BFF5CD9"/>
    <w:rsid w:val="3C1D0CA5"/>
    <w:rsid w:val="3C30513B"/>
    <w:rsid w:val="3C3F22F4"/>
    <w:rsid w:val="3D1A20EC"/>
    <w:rsid w:val="3D3B5249"/>
    <w:rsid w:val="3D882BA5"/>
    <w:rsid w:val="3E4C53E3"/>
    <w:rsid w:val="3E734474"/>
    <w:rsid w:val="3E860E87"/>
    <w:rsid w:val="3EA4581B"/>
    <w:rsid w:val="3EF73201"/>
    <w:rsid w:val="3FF07577"/>
    <w:rsid w:val="40D540DE"/>
    <w:rsid w:val="41127F78"/>
    <w:rsid w:val="418F1ACB"/>
    <w:rsid w:val="41C56155"/>
    <w:rsid w:val="41EE3891"/>
    <w:rsid w:val="422A625B"/>
    <w:rsid w:val="425C6B40"/>
    <w:rsid w:val="42AA6D14"/>
    <w:rsid w:val="42BF3F83"/>
    <w:rsid w:val="431A1CEF"/>
    <w:rsid w:val="434311EB"/>
    <w:rsid w:val="434B270D"/>
    <w:rsid w:val="43A4180F"/>
    <w:rsid w:val="44AE17C2"/>
    <w:rsid w:val="44E86B37"/>
    <w:rsid w:val="450C237E"/>
    <w:rsid w:val="458E7C10"/>
    <w:rsid w:val="45F54828"/>
    <w:rsid w:val="46102CFF"/>
    <w:rsid w:val="461B7BF6"/>
    <w:rsid w:val="46302B02"/>
    <w:rsid w:val="46350743"/>
    <w:rsid w:val="46F232DD"/>
    <w:rsid w:val="47C32E71"/>
    <w:rsid w:val="495B34B3"/>
    <w:rsid w:val="49DA6243"/>
    <w:rsid w:val="4A830CA4"/>
    <w:rsid w:val="4AA42D1F"/>
    <w:rsid w:val="4B15024A"/>
    <w:rsid w:val="4B4007F8"/>
    <w:rsid w:val="4B660CCA"/>
    <w:rsid w:val="4B697134"/>
    <w:rsid w:val="4B8C233D"/>
    <w:rsid w:val="4BD04CDA"/>
    <w:rsid w:val="4C636905"/>
    <w:rsid w:val="4CAE73BB"/>
    <w:rsid w:val="4CF771B9"/>
    <w:rsid w:val="4DC5234A"/>
    <w:rsid w:val="4EB27989"/>
    <w:rsid w:val="4F477632"/>
    <w:rsid w:val="4FD25151"/>
    <w:rsid w:val="502A27F0"/>
    <w:rsid w:val="503542B7"/>
    <w:rsid w:val="5086150F"/>
    <w:rsid w:val="50C343CA"/>
    <w:rsid w:val="50D267B4"/>
    <w:rsid w:val="50DF43EC"/>
    <w:rsid w:val="5133277F"/>
    <w:rsid w:val="51A35D0D"/>
    <w:rsid w:val="51D427C0"/>
    <w:rsid w:val="51E84E07"/>
    <w:rsid w:val="529D3A52"/>
    <w:rsid w:val="52B72033"/>
    <w:rsid w:val="52D85CDC"/>
    <w:rsid w:val="52D91A9D"/>
    <w:rsid w:val="52F42021"/>
    <w:rsid w:val="530541F4"/>
    <w:rsid w:val="539B57DC"/>
    <w:rsid w:val="53A671A4"/>
    <w:rsid w:val="542706AB"/>
    <w:rsid w:val="54937583"/>
    <w:rsid w:val="550B67C9"/>
    <w:rsid w:val="55385B69"/>
    <w:rsid w:val="56644FFD"/>
    <w:rsid w:val="569567E5"/>
    <w:rsid w:val="56B60FF1"/>
    <w:rsid w:val="56D21280"/>
    <w:rsid w:val="56FA1589"/>
    <w:rsid w:val="57021A43"/>
    <w:rsid w:val="579A2B4F"/>
    <w:rsid w:val="5818472B"/>
    <w:rsid w:val="58A15EE4"/>
    <w:rsid w:val="58CD124D"/>
    <w:rsid w:val="59FF073F"/>
    <w:rsid w:val="5A334886"/>
    <w:rsid w:val="5A495A01"/>
    <w:rsid w:val="5A7A265B"/>
    <w:rsid w:val="5B2C74C8"/>
    <w:rsid w:val="5B604CFC"/>
    <w:rsid w:val="5C242975"/>
    <w:rsid w:val="5CAF7CFF"/>
    <w:rsid w:val="5DB41736"/>
    <w:rsid w:val="5E1C3508"/>
    <w:rsid w:val="5E90334B"/>
    <w:rsid w:val="5F332047"/>
    <w:rsid w:val="5FE6455C"/>
    <w:rsid w:val="5FF13275"/>
    <w:rsid w:val="60685A58"/>
    <w:rsid w:val="61306B09"/>
    <w:rsid w:val="618D6CFB"/>
    <w:rsid w:val="61A22FD0"/>
    <w:rsid w:val="61F4024B"/>
    <w:rsid w:val="62D94888"/>
    <w:rsid w:val="63180E4E"/>
    <w:rsid w:val="633C3427"/>
    <w:rsid w:val="63FD28ED"/>
    <w:rsid w:val="64300E64"/>
    <w:rsid w:val="64504EC2"/>
    <w:rsid w:val="64846074"/>
    <w:rsid w:val="64B6148E"/>
    <w:rsid w:val="64C63512"/>
    <w:rsid w:val="65161120"/>
    <w:rsid w:val="652B6F16"/>
    <w:rsid w:val="658A694F"/>
    <w:rsid w:val="65A4593C"/>
    <w:rsid w:val="65C454C1"/>
    <w:rsid w:val="65EC0EA2"/>
    <w:rsid w:val="6616414B"/>
    <w:rsid w:val="66230100"/>
    <w:rsid w:val="67FF1D90"/>
    <w:rsid w:val="6890692C"/>
    <w:rsid w:val="68D02960"/>
    <w:rsid w:val="68DD3BD8"/>
    <w:rsid w:val="6A5249F2"/>
    <w:rsid w:val="6A671C3A"/>
    <w:rsid w:val="6B4B5C7A"/>
    <w:rsid w:val="6C3E265C"/>
    <w:rsid w:val="6C561B2E"/>
    <w:rsid w:val="6CE369F4"/>
    <w:rsid w:val="6D2F4417"/>
    <w:rsid w:val="6D505F53"/>
    <w:rsid w:val="6D7D64C3"/>
    <w:rsid w:val="6DDC4943"/>
    <w:rsid w:val="6E1C2761"/>
    <w:rsid w:val="6E4C7EC1"/>
    <w:rsid w:val="6E6D01D0"/>
    <w:rsid w:val="6F321CE1"/>
    <w:rsid w:val="6F644FFD"/>
    <w:rsid w:val="6FA60F45"/>
    <w:rsid w:val="6FF74A5B"/>
    <w:rsid w:val="6FFE0EF2"/>
    <w:rsid w:val="703D697E"/>
    <w:rsid w:val="70BC184A"/>
    <w:rsid w:val="70E44BF9"/>
    <w:rsid w:val="70E54A9D"/>
    <w:rsid w:val="71006E3A"/>
    <w:rsid w:val="716C63F3"/>
    <w:rsid w:val="724A2001"/>
    <w:rsid w:val="72957480"/>
    <w:rsid w:val="730C2E4B"/>
    <w:rsid w:val="73300084"/>
    <w:rsid w:val="739D3403"/>
    <w:rsid w:val="73A50F83"/>
    <w:rsid w:val="73CA6480"/>
    <w:rsid w:val="73F8686C"/>
    <w:rsid w:val="741B5BDE"/>
    <w:rsid w:val="7442283D"/>
    <w:rsid w:val="747D7AA6"/>
    <w:rsid w:val="74B34B50"/>
    <w:rsid w:val="750C56D9"/>
    <w:rsid w:val="75657B2B"/>
    <w:rsid w:val="76035888"/>
    <w:rsid w:val="765C0EE0"/>
    <w:rsid w:val="7667251D"/>
    <w:rsid w:val="767A0773"/>
    <w:rsid w:val="767A0F69"/>
    <w:rsid w:val="76884E9E"/>
    <w:rsid w:val="76CE5F7E"/>
    <w:rsid w:val="770B7A10"/>
    <w:rsid w:val="774E54E3"/>
    <w:rsid w:val="77E146E5"/>
    <w:rsid w:val="783308F4"/>
    <w:rsid w:val="785F1639"/>
    <w:rsid w:val="789703EA"/>
    <w:rsid w:val="79B445F5"/>
    <w:rsid w:val="79D6559C"/>
    <w:rsid w:val="7AA64B35"/>
    <w:rsid w:val="7AE646E2"/>
    <w:rsid w:val="7BA72228"/>
    <w:rsid w:val="7BDD4D79"/>
    <w:rsid w:val="7BE35C84"/>
    <w:rsid w:val="7C3523B2"/>
    <w:rsid w:val="7C4F7407"/>
    <w:rsid w:val="7C6D0848"/>
    <w:rsid w:val="7CBC74DE"/>
    <w:rsid w:val="7CC53D25"/>
    <w:rsid w:val="7CF20006"/>
    <w:rsid w:val="7D0807FE"/>
    <w:rsid w:val="7D102C25"/>
    <w:rsid w:val="7F23196E"/>
    <w:rsid w:val="7F3C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5">
    <w:name w:val="heading 1"/>
    <w:basedOn w:val="1"/>
    <w:next w:val="1"/>
    <w:qFormat/>
    <w:uiPriority w:val="0"/>
    <w:pPr>
      <w:keepNext/>
      <w:keepLines/>
      <w:spacing w:before="340" w:after="330" w:line="578" w:lineRule="auto"/>
      <w:outlineLvl w:val="0"/>
    </w:pPr>
    <w:rPr>
      <w:rFonts w:eastAsia="宋体"/>
      <w:b/>
      <w:bCs/>
      <w:kern w:val="44"/>
      <w:sz w:val="44"/>
      <w:szCs w:val="44"/>
    </w:rPr>
  </w:style>
  <w:style w:type="paragraph" w:styleId="6">
    <w:name w:val="heading 2"/>
    <w:basedOn w:val="1"/>
    <w:next w:val="1"/>
    <w:semiHidden/>
    <w:unhideWhenUsed/>
    <w:qFormat/>
    <w:uiPriority w:val="0"/>
    <w:pPr>
      <w:spacing w:beforeAutospacing="1" w:afterAutospacing="1"/>
      <w:jc w:val="left"/>
      <w:outlineLvl w:val="1"/>
    </w:pPr>
    <w:rPr>
      <w:rFonts w:ascii="宋体" w:hAnsi="宋体" w:cs="宋体"/>
      <w:b/>
      <w:bCs/>
      <w:kern w:val="0"/>
      <w:sz w:val="36"/>
      <w:szCs w:val="36"/>
    </w:rPr>
  </w:style>
  <w:style w:type="character" w:default="1" w:styleId="16">
    <w:name w:val="Default Paragraph Font"/>
    <w:link w:val="17"/>
    <w:semiHidden/>
    <w:qFormat/>
    <w:uiPriority w:val="0"/>
    <w:rPr>
      <w:rFonts w:ascii="宋体" w:hAnsi="宋体" w:cs="宋体"/>
      <w:sz w:val="24"/>
    </w:rPr>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ind w:left="1011" w:hanging="1011" w:hangingChars="316"/>
    </w:pPr>
  </w:style>
  <w:style w:type="paragraph" w:styleId="7">
    <w:name w:val="Body Text"/>
    <w:basedOn w:val="1"/>
    <w:qFormat/>
    <w:uiPriority w:val="0"/>
    <w:pPr>
      <w:spacing w:after="120"/>
    </w:pPr>
    <w:rPr>
      <w:rFonts w:ascii="Times New Roman" w:hAnsi="Times New Roman" w:eastAsia="宋体" w:cs="Times New Roman"/>
    </w:rPr>
  </w:style>
  <w:style w:type="paragraph" w:styleId="8">
    <w:name w:val="Plain Text"/>
    <w:basedOn w:val="1"/>
    <w:qFormat/>
    <w:uiPriority w:val="0"/>
    <w:rPr>
      <w:rFonts w:ascii="宋体" w:hAnsi="Courier New" w:eastAsia="宋体" w:cs="Courier New"/>
      <w:sz w:val="21"/>
      <w:szCs w:val="21"/>
    </w:rPr>
  </w:style>
  <w:style w:type="paragraph" w:styleId="9">
    <w:name w:val="Balloon Text"/>
    <w:basedOn w:val="1"/>
    <w:next w:val="10"/>
    <w:qFormat/>
    <w:uiPriority w:val="0"/>
    <w:rPr>
      <w:sz w:val="18"/>
    </w:rPr>
  </w:style>
  <w:style w:type="paragraph" w:styleId="10">
    <w:name w:val="HTML Preformatted"/>
    <w:basedOn w:val="1"/>
    <w:qFormat/>
    <w:uiPriority w:val="0"/>
    <w:pPr>
      <w:jc w:val="left"/>
    </w:pPr>
    <w:rPr>
      <w:rFonts w:hint="eastAsia" w:ascii="宋体" w:hAnsi="宋体" w:cs="宋体"/>
      <w:kern w:val="0"/>
      <w:sz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Calibri Light" w:hAnsi="Calibri Light" w:eastAsia="黑体" w:cs="Times New Roman"/>
      <w:b/>
      <w:bCs/>
      <w:sz w:val="44"/>
      <w:szCs w:val="32"/>
    </w:rPr>
  </w:style>
  <w:style w:type="paragraph" w:customStyle="1" w:styleId="17">
    <w:name w:val="默认段落字体 Para Char"/>
    <w:basedOn w:val="1"/>
    <w:next w:val="1"/>
    <w:link w:val="16"/>
    <w:qFormat/>
    <w:uiPriority w:val="0"/>
    <w:pPr>
      <w:spacing w:line="360" w:lineRule="auto"/>
      <w:ind w:firstLine="200" w:firstLineChars="200"/>
    </w:pPr>
    <w:rPr>
      <w:rFonts w:ascii="宋体" w:hAnsi="宋体" w:cs="宋体"/>
      <w:sz w:val="24"/>
    </w:rPr>
  </w:style>
  <w:style w:type="character" w:styleId="18">
    <w:name w:val="Strong"/>
    <w:basedOn w:val="16"/>
    <w:qFormat/>
    <w:uiPriority w:val="0"/>
    <w:rPr>
      <w:b/>
    </w:rPr>
  </w:style>
  <w:style w:type="character" w:styleId="19">
    <w:name w:val="page number"/>
    <w:basedOn w:val="16"/>
    <w:qFormat/>
    <w:uiPriority w:val="0"/>
  </w:style>
  <w:style w:type="character" w:styleId="20">
    <w:name w:val="Hyperlink"/>
    <w:basedOn w:val="16"/>
    <w:qFormat/>
    <w:uiPriority w:val="0"/>
    <w:rPr>
      <w:color w:val="0563C1" w:themeColor="hyperlink"/>
      <w:u w:val="single"/>
      <w14:textFill>
        <w14:solidFill>
          <w14:schemeClr w14:val="hlink"/>
        </w14:solidFill>
      </w14:textFill>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表格文字"/>
    <w:basedOn w:val="1"/>
    <w:next w:val="7"/>
    <w:qFormat/>
    <w:uiPriority w:val="0"/>
    <w:pPr>
      <w:spacing w:before="25" w:after="25"/>
      <w:jc w:val="left"/>
    </w:pPr>
    <w:rPr>
      <w:rFonts w:ascii="Times New Roman" w:hAnsi="Times New Roman" w:eastAsia="宋体" w:cs="Times New Roman"/>
      <w:bCs/>
      <w:spacing w:val="10"/>
      <w:kern w:val="0"/>
      <w:sz w:val="24"/>
    </w:rPr>
  </w:style>
  <w:style w:type="paragraph" w:styleId="24">
    <w:name w:val="List Paragraph"/>
    <w:basedOn w:val="1"/>
    <w:qFormat/>
    <w:uiPriority w:val="34"/>
    <w:pPr>
      <w:ind w:firstLine="420" w:firstLineChars="200"/>
    </w:pPr>
  </w:style>
  <w:style w:type="paragraph" w:styleId="25">
    <w:name w:val="No Spacing"/>
    <w:qFormat/>
    <w:uiPriority w:val="1"/>
    <w:pPr>
      <w:widowControl w:val="0"/>
      <w:jc w:val="both"/>
    </w:pPr>
    <w:rPr>
      <w:rFonts w:ascii="等线" w:hAnsi="等线" w:eastAsia="等线" w:cstheme="minorBidi"/>
      <w:kern w:val="2"/>
      <w:sz w:val="21"/>
      <w:szCs w:val="22"/>
      <w:lang w:val="en-US" w:eastAsia="zh-CN" w:bidi="ar-SA"/>
    </w:rPr>
  </w:style>
  <w:style w:type="paragraph" w:customStyle="1" w:styleId="26">
    <w:name w:val="0"/>
    <w:basedOn w:val="1"/>
    <w:qFormat/>
    <w:uiPriority w:val="0"/>
    <w:pPr>
      <w:widowControl/>
      <w:snapToGrid w:val="0"/>
      <w:spacing w:line="365" w:lineRule="atLeast"/>
      <w:ind w:left="1"/>
    </w:pPr>
    <w:rPr>
      <w:rFonts w:eastAsia="宋体"/>
      <w:kern w:val="0"/>
      <w:sz w:val="20"/>
      <w:szCs w:val="20"/>
    </w:rPr>
  </w:style>
  <w:style w:type="paragraph" w:customStyle="1" w:styleId="27">
    <w:name w:val="Table Paragraph"/>
    <w:basedOn w:val="1"/>
    <w:qFormat/>
    <w:uiPriority w:val="1"/>
    <w:pPr>
      <w:autoSpaceDE w:val="0"/>
      <w:autoSpaceDN w:val="0"/>
      <w:adjustRightInd w:val="0"/>
      <w:jc w:val="left"/>
    </w:pPr>
    <w:rPr>
      <w:rFonts w:ascii="Times New Roman" w:hAnsi="Times New Roman" w:eastAsia="等线" w:cs="Times New Roman"/>
      <w:kern w:val="0"/>
      <w:sz w:val="24"/>
      <w:szCs w:val="24"/>
    </w:rPr>
  </w:style>
  <w:style w:type="paragraph" w:customStyle="1" w:styleId="28">
    <w:name w:val="List Paragraph_210ac49c-2fc0-4b54-9a0c-2002cf31ff6f"/>
    <w:basedOn w:val="1"/>
    <w:qFormat/>
    <w:uiPriority w:val="34"/>
    <w:pPr>
      <w:ind w:firstLine="420" w:firstLineChars="200"/>
    </w:pPr>
  </w:style>
  <w:style w:type="paragraph" w:customStyle="1" w:styleId="29">
    <w:name w:val="Fließtext"/>
    <w:basedOn w:val="1"/>
    <w:qFormat/>
    <w:uiPriority w:val="0"/>
    <w:pPr>
      <w:overflowPunct w:val="0"/>
      <w:autoSpaceDE w:val="0"/>
      <w:autoSpaceDN w:val="0"/>
      <w:adjustRightInd w:val="0"/>
      <w:spacing w:line="240" w:lineRule="auto"/>
      <w:ind w:firstLine="0" w:firstLineChars="0"/>
      <w:textAlignment w:val="baseline"/>
    </w:pPr>
    <w:rPr>
      <w:kern w:val="28"/>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2019-01-02T02:01:00Z</dcterms:created>
  <dc:creator>Administrator</dc:creator>
  <cp:lastModifiedBy>Administrator</cp:lastModifiedBy>
  <cp:lastPrinted>2024-05-30T02:34:41Z</cp:lastPrinted>
  <dcterms:modified xsi:type="dcterms:W3CDTF">2024-05-30T02:35:52Z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